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20" w:lineRule="atLeast"/>
        <w:jc w:val="center"/>
        <w:rPr>
          <w:rFonts w:ascii="Arial Black" w:hAnsi="Arial Black" w:eastAsia="黑体" w:cs="Andalus"/>
          <w:b/>
          <w:sz w:val="30"/>
          <w:szCs w:val="30"/>
        </w:rPr>
      </w:pPr>
      <w:r>
        <w:rPr>
          <w:rFonts w:ascii="Arial Black" w:hAnsi="Arial Black" w:eastAsia="黑体" w:cs="Andalus"/>
          <w:b/>
          <w:sz w:val="30"/>
          <w:szCs w:val="30"/>
        </w:rPr>
        <w:t>YD-CS Transistor test specification</w:t>
      </w:r>
    </w:p>
    <w:p>
      <w:pPr>
        <w:spacing w:line="220" w:lineRule="atLeast"/>
        <w:ind w:firstLine="240" w:firstLineChars="100"/>
        <w:rPr>
          <w:rFonts w:ascii="Andalus" w:hAnsi="Andalus" w:cs="Andalus"/>
          <w:b/>
          <w:sz w:val="24"/>
          <w:szCs w:val="24"/>
        </w:rPr>
      </w:pPr>
      <w:r>
        <w:rPr>
          <w:rFonts w:ascii="Andalus" w:hAnsi="Andalus" w:cs="Andalus"/>
          <w:b/>
          <w:sz w:val="24"/>
          <w:szCs w:val="24"/>
        </w:rPr>
        <w:drawing>
          <wp:anchor distT="0" distB="0" distL="114300" distR="114300" simplePos="0" relativeHeight="251659264" behindDoc="1" locked="0" layoutInCell="1" allowOverlap="1">
            <wp:simplePos x="0" y="0"/>
            <wp:positionH relativeFrom="column">
              <wp:posOffset>57785</wp:posOffset>
            </wp:positionH>
            <wp:positionV relativeFrom="paragraph">
              <wp:posOffset>187960</wp:posOffset>
            </wp:positionV>
            <wp:extent cx="4572000" cy="2952750"/>
            <wp:effectExtent l="19050" t="0" r="0" b="0"/>
            <wp:wrapNone/>
            <wp:docPr id="3" name="图片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11.jpg"/>
                    <pic:cNvPicPr>
                      <a:picLocks noChangeAspect="1"/>
                    </pic:cNvPicPr>
                  </pic:nvPicPr>
                  <pic:blipFill>
                    <a:blip r:embed="rId4" cstate="print">
                      <a:lum bright="1000"/>
                    </a:blip>
                    <a:stretch>
                      <a:fillRect/>
                    </a:stretch>
                  </pic:blipFill>
                  <pic:spPr>
                    <a:xfrm>
                      <a:off x="0" y="0"/>
                      <a:ext cx="4572000" cy="2952750"/>
                    </a:xfrm>
                    <a:prstGeom prst="rect">
                      <a:avLst/>
                    </a:prstGeom>
                  </pic:spPr>
                </pic:pic>
              </a:graphicData>
            </a:graphic>
          </wp:anchor>
        </w:drawing>
      </w:r>
      <w:r>
        <w:rPr>
          <w:rFonts w:hint="eastAsia" w:ascii="Andalus" w:hAnsi="Andalus" w:cs="Andalus"/>
          <w:b/>
          <w:sz w:val="24"/>
          <w:szCs w:val="24"/>
        </w:rPr>
        <w:t>1</w:t>
      </w:r>
      <w:r>
        <w:rPr>
          <w:rFonts w:ascii="Andalus" w:hAnsi="Andalus" w:cs="Andalus"/>
          <w:b/>
          <w:sz w:val="24"/>
          <w:szCs w:val="24"/>
        </w:rPr>
        <w:t>.</w:t>
      </w:r>
      <w:r>
        <w:rPr>
          <w:rFonts w:ascii="Andalus" w:hAnsi="Andalus" w:cs="Andalus"/>
        </w:rPr>
        <w:t xml:space="preserve"> </w:t>
      </w:r>
      <w:r>
        <w:rPr>
          <w:rFonts w:ascii="Andalus" w:hAnsi="Andalus" w:cs="Andalus"/>
          <w:b/>
          <w:sz w:val="24"/>
          <w:szCs w:val="24"/>
        </w:rPr>
        <w:t>Circuit diagram</w:t>
      </w: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sz w:val="18"/>
          <w:szCs w:val="18"/>
        </w:rPr>
      </w:pPr>
    </w:p>
    <w:p>
      <w:pPr>
        <w:spacing w:line="220" w:lineRule="atLeast"/>
        <w:rPr>
          <w:rFonts w:cs="Tahoma"/>
          <w:b/>
          <w:sz w:val="24"/>
          <w:szCs w:val="24"/>
        </w:rPr>
      </w:pPr>
    </w:p>
    <w:p>
      <w:pPr>
        <w:spacing w:line="220" w:lineRule="atLeast"/>
        <w:ind w:firstLine="240" w:firstLineChars="100"/>
        <w:rPr>
          <w:rFonts w:cs="Tahoma"/>
          <w:sz w:val="18"/>
          <w:szCs w:val="18"/>
        </w:rPr>
      </w:pPr>
      <w:r>
        <w:rPr>
          <w:rFonts w:ascii="Andalus" w:hAnsi="Andalus" w:cs="Andalus"/>
          <w:b/>
          <w:sz w:val="24"/>
          <w:szCs w:val="24"/>
        </w:rPr>
        <w:t>2. PCB components follow this diagram view of a mounting components:</w:t>
      </w:r>
      <w:r>
        <w:rPr>
          <w:rFonts w:cs="Tahoma"/>
          <w:sz w:val="18"/>
          <w:szCs w:val="18"/>
        </w:rPr>
        <w:drawing>
          <wp:inline distT="0" distB="0" distL="0" distR="0">
            <wp:extent cx="4847590" cy="3038475"/>
            <wp:effectExtent l="19050" t="0" r="0" b="0"/>
            <wp:docPr id="5" name="图片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1.jpg"/>
                    <pic:cNvPicPr>
                      <a:picLocks noChangeAspect="1"/>
                    </pic:cNvPicPr>
                  </pic:nvPicPr>
                  <pic:blipFill>
                    <a:blip r:embed="rId5" cstate="print"/>
                    <a:stretch>
                      <a:fillRect/>
                    </a:stretch>
                  </pic:blipFill>
                  <pic:spPr>
                    <a:xfrm>
                      <a:off x="0" y="0"/>
                      <a:ext cx="4851470" cy="3040614"/>
                    </a:xfrm>
                    <a:prstGeom prst="rect">
                      <a:avLst/>
                    </a:prstGeom>
                  </pic:spPr>
                </pic:pic>
              </a:graphicData>
            </a:graphic>
          </wp:inline>
        </w:drawing>
      </w:r>
    </w:p>
    <w:p>
      <w:pPr>
        <w:spacing w:line="220" w:lineRule="atLeast"/>
        <w:rPr>
          <w:rFonts w:ascii="Andalus" w:hAnsi="Andalus" w:cs="Andalus"/>
          <w:b/>
          <w:sz w:val="24"/>
          <w:szCs w:val="24"/>
        </w:rPr>
      </w:pPr>
      <w:r>
        <w:rPr>
          <w:rFonts w:ascii="Andalus" w:hAnsi="Andalus" w:cs="Andalus"/>
          <w:b/>
          <w:sz w:val="24"/>
          <w:szCs w:val="24"/>
        </w:rPr>
        <w:t>3.</w:t>
      </w:r>
      <w:r>
        <w:rPr>
          <w:rFonts w:ascii="Andalus" w:hAnsi="Andalus" w:cs="Andalus"/>
        </w:rPr>
        <w:t xml:space="preserve"> </w:t>
      </w:r>
      <w:r>
        <w:rPr>
          <w:rFonts w:ascii="Andalus" w:hAnsi="Andalus" w:cs="Andalus"/>
          <w:b/>
          <w:sz w:val="24"/>
          <w:szCs w:val="24"/>
        </w:rPr>
        <w:t>Detailed list of components</w:t>
      </w:r>
    </w:p>
    <w:tbl>
      <w:tblPr>
        <w:tblStyle w:val="8"/>
        <w:tblW w:w="7505" w:type="dxa"/>
        <w:jc w:val="center"/>
        <w:tblInd w:w="-13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134"/>
        <w:gridCol w:w="1984"/>
        <w:gridCol w:w="261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1777" w:type="dxa"/>
            <w:vAlign w:val="center"/>
          </w:tcPr>
          <w:p>
            <w:pPr>
              <w:jc w:val="center"/>
              <w:rPr>
                <w:rFonts w:ascii="Andalus" w:hAnsi="Andalus" w:cs="Andalus"/>
                <w:color w:val="000000"/>
                <w:sz w:val="15"/>
                <w:szCs w:val="15"/>
              </w:rPr>
            </w:pPr>
            <w:r>
              <w:rPr>
                <w:rFonts w:ascii="Andalus" w:hAnsi="Andalus" w:cs="Andalus"/>
                <w:color w:val="000000"/>
                <w:sz w:val="15"/>
                <w:szCs w:val="15"/>
              </w:rPr>
              <w:t>element</w:t>
            </w:r>
          </w:p>
        </w:tc>
        <w:tc>
          <w:tcPr>
            <w:tcW w:w="1134" w:type="dxa"/>
            <w:vAlign w:val="center"/>
          </w:tcPr>
          <w:p>
            <w:pPr>
              <w:jc w:val="center"/>
              <w:rPr>
                <w:rFonts w:ascii="Andalus" w:hAnsi="Andalus" w:cs="Andalus"/>
                <w:color w:val="000000"/>
                <w:sz w:val="15"/>
                <w:szCs w:val="15"/>
              </w:rPr>
            </w:pPr>
            <w:r>
              <w:rPr>
                <w:rFonts w:ascii="Andalus" w:hAnsi="Andalus" w:cs="Andalus"/>
                <w:color w:val="000000"/>
                <w:sz w:val="15"/>
                <w:szCs w:val="15"/>
              </w:rPr>
              <w:t>Serial number</w:t>
            </w:r>
          </w:p>
          <w:p>
            <w:pPr>
              <w:spacing w:line="240" w:lineRule="atLeast"/>
              <w:jc w:val="center"/>
              <w:rPr>
                <w:rFonts w:ascii="Andalus" w:hAnsi="Andalus" w:cs="Andalus"/>
                <w:color w:val="000000"/>
                <w:sz w:val="15"/>
                <w:szCs w:val="15"/>
              </w:rPr>
            </w:pPr>
          </w:p>
        </w:tc>
        <w:tc>
          <w:tcPr>
            <w:tcW w:w="1984" w:type="dxa"/>
            <w:vAlign w:val="center"/>
          </w:tcPr>
          <w:p>
            <w:pPr>
              <w:spacing w:line="240" w:lineRule="atLeast"/>
              <w:jc w:val="center"/>
              <w:rPr>
                <w:rFonts w:ascii="Andalus" w:hAnsi="Andalus" w:cs="Andalus"/>
                <w:color w:val="000000"/>
                <w:sz w:val="15"/>
                <w:szCs w:val="15"/>
              </w:rPr>
            </w:pPr>
            <w:r>
              <w:rPr>
                <w:rFonts w:ascii="Andalus" w:hAnsi="Andalus" w:cs="Andalus"/>
                <w:color w:val="000000"/>
                <w:sz w:val="15"/>
                <w:szCs w:val="15"/>
              </w:rPr>
              <w:t>specifications</w:t>
            </w:r>
          </w:p>
        </w:tc>
        <w:tc>
          <w:tcPr>
            <w:tcW w:w="2610" w:type="dxa"/>
            <w:tcBorders>
              <w:left w:val="single" w:color="auto" w:sz="8" w:space="0"/>
            </w:tcBorders>
            <w:vAlign w:val="center"/>
          </w:tcPr>
          <w:p>
            <w:pPr>
              <w:spacing w:line="240" w:lineRule="atLeast"/>
              <w:jc w:val="center"/>
              <w:rPr>
                <w:rFonts w:ascii="Andalus" w:hAnsi="Andalus" w:cs="Andalus"/>
                <w:color w:val="000000"/>
                <w:sz w:val="15"/>
                <w:szCs w:val="15"/>
              </w:rPr>
            </w:pPr>
            <w:r>
              <w:rPr>
                <w:rFonts w:ascii="Andalus" w:hAnsi="Andalus" w:cs="Andalus"/>
                <w:color w:val="000000"/>
                <w:sz w:val="15"/>
                <w:szCs w:val="15"/>
              </w:rPr>
              <w:t>note</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  resistance</w:t>
            </w:r>
          </w:p>
        </w:tc>
        <w:tc>
          <w:tcPr>
            <w:tcW w:w="1134" w:type="dxa"/>
            <w:vAlign w:val="center"/>
          </w:tcPr>
          <w:p>
            <w:pPr>
              <w:spacing w:line="240" w:lineRule="atLeast"/>
              <w:jc w:val="both"/>
              <w:rPr>
                <w:rFonts w:ascii="Andalus" w:hAnsi="Andalus" w:eastAsia="宋体" w:cs="Andalus"/>
                <w:color w:val="000000"/>
                <w:sz w:val="15"/>
                <w:szCs w:val="15"/>
              </w:rPr>
            </w:pPr>
            <w:r>
              <w:rPr>
                <w:rFonts w:ascii="Andalus" w:hAnsi="Andalus" w:cs="Andalus"/>
                <w:color w:val="000000"/>
                <w:sz w:val="15"/>
                <w:szCs w:val="15"/>
              </w:rPr>
              <w:t>R2, R4, R6</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lang w:eastAsia="zh-TW"/>
              </w:rPr>
              <w:t>47</w:t>
            </w:r>
            <w:r>
              <w:rPr>
                <w:rFonts w:ascii="Andalus" w:hAnsi="Andalus" w:cs="Andalus"/>
                <w:color w:val="000000"/>
                <w:sz w:val="15"/>
                <w:szCs w:val="15"/>
              </w:rPr>
              <w:t>0k</w:t>
            </w:r>
            <w:r>
              <w:rPr>
                <w:rFonts w:cs="Andalus"/>
                <w:color w:val="000000"/>
                <w:sz w:val="15"/>
                <w:szCs w:val="15"/>
              </w:rPr>
              <w:t>Ω</w:t>
            </w:r>
            <w:r>
              <w:rPr>
                <w:rFonts w:ascii="Andalus" w:hAnsi="Andalus" w:cs="Andalus"/>
                <w:color w:val="000000"/>
                <w:sz w:val="15"/>
                <w:szCs w:val="15"/>
              </w:rPr>
              <w:t xml:space="preserve">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Huang zi black orange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color w:val="000000"/>
                <w:sz w:val="15"/>
                <w:szCs w:val="15"/>
              </w:rPr>
              <w:t>2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 R3, R5</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680</w:t>
            </w:r>
            <w:r>
              <w:rPr>
                <w:rFonts w:cs="Andalus"/>
                <w:color w:val="000000"/>
                <w:sz w:val="15"/>
                <w:szCs w:val="15"/>
              </w:rPr>
              <w:t>Ω</w:t>
            </w:r>
            <w:r>
              <w:rPr>
                <w:rFonts w:ascii="Andalus" w:hAnsi="Andalus" w:cs="Andalus"/>
                <w:color w:val="000000"/>
                <w:sz w:val="15"/>
                <w:szCs w:val="15"/>
              </w:rPr>
              <w:t xml:space="preserve">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Blue grey black and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3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R15</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2K2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Red and black brown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4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R1.4</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270</w:t>
            </w:r>
            <w:r>
              <w:rPr>
                <w:rFonts w:cs="Andalus"/>
                <w:color w:val="000000"/>
                <w:sz w:val="15"/>
                <w:szCs w:val="15"/>
              </w:rPr>
              <w:t>Ω</w:t>
            </w:r>
            <w:r>
              <w:rPr>
                <w:rFonts w:ascii="Andalus" w:hAnsi="Andalus" w:cs="Andalus"/>
                <w:color w:val="000000"/>
                <w:sz w:val="15"/>
                <w:szCs w:val="15"/>
              </w:rPr>
              <w:t xml:space="preserve">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Red purple black and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5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R12, R7</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3K3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Orange orange dark brown,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color w:val="000000"/>
                <w:sz w:val="15"/>
                <w:szCs w:val="15"/>
              </w:rPr>
              <w:t>6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R13</w:t>
            </w:r>
            <w:r>
              <w:rPr>
                <w:rFonts w:ascii="Andalus" w:cs="Andalus"/>
                <w:color w:val="000000"/>
                <w:sz w:val="15"/>
                <w:szCs w:val="15"/>
              </w:rPr>
              <w:t>，</w:t>
            </w:r>
            <w:r>
              <w:rPr>
                <w:rFonts w:ascii="Andalus" w:hAnsi="Andalus" w:cs="Andalus"/>
                <w:color w:val="000000"/>
                <w:sz w:val="15"/>
                <w:szCs w:val="15"/>
              </w:rPr>
              <w:t>R11</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10K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Brown black, black and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color w:val="000000"/>
                <w:sz w:val="15"/>
                <w:szCs w:val="15"/>
              </w:rPr>
              <w:t>7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R14</w:t>
            </w:r>
            <w:r>
              <w:rPr>
                <w:rFonts w:ascii="Andalus" w:cs="Andalus"/>
                <w:color w:val="000000"/>
                <w:sz w:val="15"/>
                <w:szCs w:val="15"/>
              </w:rPr>
              <w:t>，</w:t>
            </w:r>
            <w:r>
              <w:rPr>
                <w:rFonts w:ascii="Andalus" w:hAnsi="Andalus" w:cs="Andalus"/>
                <w:color w:val="000000"/>
                <w:sz w:val="15"/>
                <w:szCs w:val="15"/>
              </w:rPr>
              <w:t>R8</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27K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Red violet black and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color w:val="000000"/>
                <w:sz w:val="15"/>
                <w:szCs w:val="15"/>
              </w:rPr>
              <w:t>8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R10</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33K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Orange orange red,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9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R9</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100K  1%</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Brown, black and orange brown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lang w:eastAsia="zh-TW"/>
              </w:rPr>
            </w:pPr>
            <w:r>
              <w:rPr>
                <w:rFonts w:ascii="Andalus" w:hAnsi="Andalus" w:cs="Andalus"/>
                <w:color w:val="000000"/>
                <w:sz w:val="15"/>
                <w:szCs w:val="15"/>
              </w:rPr>
              <w:t>10 crystals</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8MHZ</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8MHZ</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nonpolar</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11 Rows of pinhole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 xml:space="preserve">16Pin </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2.54 spacing, plug-in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12Adjustable resistance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R</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10K (103)</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13</w:t>
            </w:r>
            <w:r>
              <w:rPr>
                <w:rFonts w:ascii="Andalus" w:hAnsi="Andalus" w:cs="Andalus"/>
              </w:rPr>
              <w:t xml:space="preserve"> </w:t>
            </w:r>
            <w:r>
              <w:rPr>
                <w:rFonts w:ascii="Andalus" w:hAnsi="Andalus" w:cs="Andalus"/>
                <w:color w:val="000000"/>
                <w:sz w:val="15"/>
                <w:szCs w:val="15"/>
              </w:rPr>
              <w:t>Voltage chip</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WS78L05</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WS78L05 TO-92</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14 triode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T1</w:t>
            </w:r>
            <w:r>
              <w:rPr>
                <w:rFonts w:ascii="Andalus" w:cs="Andalus"/>
                <w:color w:val="000000"/>
                <w:sz w:val="15"/>
                <w:szCs w:val="15"/>
              </w:rPr>
              <w:t>，</w:t>
            </w:r>
            <w:r>
              <w:rPr>
                <w:rFonts w:ascii="Andalus" w:hAnsi="Andalus" w:cs="Andalus"/>
                <w:color w:val="000000"/>
                <w:sz w:val="15"/>
                <w:szCs w:val="15"/>
              </w:rPr>
              <w:t>T2</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S8050 TO-92</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15 triode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T3</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S8550 TO-92</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16 Zener diode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DT</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LM336Z25 TO-92</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17 Power terminal</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DS_9V</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The DC plug</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18 Key switch</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Button</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Touch your keys</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Cap with a button</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19 LED</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LED1</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Yellow LED</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Long is short negative</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20 capacitance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C9</w:t>
            </w:r>
            <w:r>
              <w:rPr>
                <w:rFonts w:ascii="Andalus" w:cs="Andalus"/>
                <w:color w:val="000000"/>
                <w:sz w:val="15"/>
                <w:szCs w:val="15"/>
              </w:rPr>
              <w:t>，</w:t>
            </w:r>
            <w:r>
              <w:rPr>
                <w:rFonts w:ascii="Andalus" w:hAnsi="Andalus" w:cs="Andalus"/>
                <w:color w:val="000000"/>
                <w:sz w:val="15"/>
                <w:szCs w:val="15"/>
              </w:rPr>
              <w:t>C10</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10uf electrolytic capacitor</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White is negative</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21 IC lock block</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U3</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14 p lock block IC</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dual-in-line</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22 IC low seat</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U2</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28P</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dual-in-line</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23 capacitance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C3</w:t>
            </w:r>
            <w:r>
              <w:rPr>
                <w:rFonts w:ascii="Andalus" w:cs="Andalus"/>
                <w:color w:val="000000"/>
                <w:sz w:val="15"/>
                <w:szCs w:val="15"/>
              </w:rPr>
              <w:t>，</w:t>
            </w:r>
            <w:r>
              <w:rPr>
                <w:rFonts w:ascii="Andalus" w:hAnsi="Andalus" w:cs="Andalus"/>
                <w:color w:val="000000"/>
                <w:sz w:val="15"/>
                <w:szCs w:val="15"/>
              </w:rPr>
              <w:t>C5</w:t>
            </w:r>
            <w:r>
              <w:rPr>
                <w:rFonts w:ascii="Andalus" w:cs="Andalus"/>
                <w:color w:val="000000"/>
                <w:sz w:val="15"/>
                <w:szCs w:val="15"/>
              </w:rPr>
              <w:t>，</w:t>
            </w:r>
            <w:r>
              <w:rPr>
                <w:rFonts w:ascii="Andalus" w:hAnsi="Andalus" w:cs="Andalus"/>
                <w:color w:val="000000"/>
                <w:sz w:val="15"/>
                <w:szCs w:val="15"/>
              </w:rPr>
              <w:t>C6</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sz w:val="15"/>
                <w:szCs w:val="15"/>
              </w:rPr>
              <w:t>104</w:t>
            </w:r>
            <w:r>
              <w:rPr>
                <w:rFonts w:ascii="Andalus" w:hAnsi="Andalus" w:cs="Andalus"/>
                <w:color w:val="000000"/>
                <w:sz w:val="15"/>
                <w:szCs w:val="15"/>
              </w:rPr>
              <w:t xml:space="preserve">  100nf</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nonpolar</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24 capacitance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C1</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333333"/>
                <w:sz w:val="15"/>
                <w:szCs w:val="15"/>
                <w:shd w:val="clear" w:color="auto" w:fill="FFFFFF"/>
              </w:rPr>
              <w:t>102</w:t>
            </w:r>
            <w:r>
              <w:rPr>
                <w:rFonts w:ascii="Andalus" w:hAnsi="Andalus" w:cs="Andalus"/>
                <w:color w:val="000000"/>
                <w:sz w:val="15"/>
                <w:szCs w:val="15"/>
              </w:rPr>
              <w:t xml:space="preserve">   1nf</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nonpolar</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25 capacitance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C2</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sz w:val="15"/>
                <w:szCs w:val="15"/>
              </w:rPr>
              <w:t>103</w:t>
            </w:r>
            <w:r>
              <w:rPr>
                <w:rFonts w:ascii="Andalus" w:hAnsi="Andalus" w:cs="Andalus"/>
                <w:color w:val="000000"/>
                <w:sz w:val="15"/>
                <w:szCs w:val="15"/>
              </w:rPr>
              <w:t xml:space="preserve">  10uf</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nonpolar</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26 r</w:t>
            </w:r>
            <w:r>
              <w:rPr>
                <w:rFonts w:ascii="Andalus" w:hAnsi="Andalus" w:cs="Andalus"/>
                <w:color w:val="000000"/>
                <w:sz w:val="15"/>
                <w:szCs w:val="15"/>
              </w:rPr>
              <w:t xml:space="preserve"> ATMEGA328P-PU</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U2</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ATMEGA328P-PU</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Place according to the graph</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777" w:type="dxa"/>
            <w:vAlign w:val="center"/>
          </w:tcPr>
          <w:p>
            <w:pPr>
              <w:spacing w:line="240" w:lineRule="atLeast"/>
              <w:jc w:val="both"/>
              <w:rPr>
                <w:rFonts w:ascii="Andalus" w:hAnsi="Andalus" w:cs="Andalus"/>
                <w:sz w:val="15"/>
                <w:szCs w:val="15"/>
              </w:rPr>
            </w:pPr>
            <w:r>
              <w:rPr>
                <w:rFonts w:ascii="Andalus" w:hAnsi="Andalus" w:cs="Andalus"/>
                <w:sz w:val="15"/>
                <w:szCs w:val="15"/>
              </w:rPr>
              <w:t>27 capacitance</w:t>
            </w:r>
          </w:p>
        </w:tc>
        <w:tc>
          <w:tcPr>
            <w:tcW w:w="113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C7</w:t>
            </w:r>
            <w:r>
              <w:rPr>
                <w:rFonts w:ascii="Andalus" w:cs="Andalus"/>
                <w:color w:val="000000"/>
                <w:sz w:val="15"/>
                <w:szCs w:val="15"/>
              </w:rPr>
              <w:t>，</w:t>
            </w:r>
            <w:r>
              <w:rPr>
                <w:rFonts w:ascii="Andalus" w:hAnsi="Andalus" w:cs="Andalus"/>
                <w:color w:val="000000"/>
                <w:sz w:val="15"/>
                <w:szCs w:val="15"/>
              </w:rPr>
              <w:t>C8</w:t>
            </w:r>
          </w:p>
        </w:tc>
        <w:tc>
          <w:tcPr>
            <w:tcW w:w="1984" w:type="dxa"/>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22PF 50V</w:t>
            </w:r>
          </w:p>
        </w:tc>
        <w:tc>
          <w:tcPr>
            <w:tcW w:w="2610" w:type="dxa"/>
            <w:tcBorders>
              <w:left w:val="single" w:color="auto" w:sz="8" w:space="0"/>
            </w:tcBorders>
            <w:vAlign w:val="center"/>
          </w:tcPr>
          <w:p>
            <w:pPr>
              <w:spacing w:line="240" w:lineRule="atLeast"/>
              <w:jc w:val="both"/>
              <w:rPr>
                <w:rFonts w:ascii="Andalus" w:hAnsi="Andalus" w:cs="Andalus"/>
                <w:color w:val="000000"/>
                <w:sz w:val="15"/>
                <w:szCs w:val="15"/>
              </w:rPr>
            </w:pPr>
            <w:r>
              <w:rPr>
                <w:rFonts w:ascii="Andalus" w:hAnsi="Andalus" w:cs="Andalus"/>
                <w:color w:val="000000"/>
                <w:sz w:val="15"/>
                <w:szCs w:val="15"/>
              </w:rPr>
              <w:t>nonpolar</w:t>
            </w:r>
          </w:p>
        </w:tc>
      </w:tr>
    </w:tbl>
    <w:p>
      <w:pPr>
        <w:rPr>
          <w:rFonts w:ascii="Andalus" w:hAnsi="Andalus" w:cs="Andalus"/>
          <w:b/>
          <w:sz w:val="24"/>
          <w:szCs w:val="24"/>
        </w:rPr>
      </w:pPr>
      <w:r>
        <w:rPr>
          <w:rFonts w:ascii="Andalus" w:hAnsi="Andalus" w:cs="Andalus"/>
          <w:b/>
          <w:sz w:val="24"/>
          <w:szCs w:val="24"/>
        </w:rPr>
        <w:t xml:space="preserve">4. </w:t>
      </w:r>
      <w:r>
        <w:rPr>
          <w:rFonts w:hint="eastAsia" w:ascii="Andalus" w:hAnsi="Andalus" w:cs="Andalus"/>
          <w:b/>
          <w:sz w:val="24"/>
          <w:szCs w:val="24"/>
          <w:lang w:val="en-US" w:eastAsia="zh-CN"/>
        </w:rPr>
        <w:t xml:space="preserve">Soldering </w:t>
      </w:r>
      <w:r>
        <w:rPr>
          <w:rFonts w:ascii="Andalus" w:hAnsi="Andalus" w:cs="Andalus"/>
          <w:b/>
          <w:sz w:val="24"/>
          <w:szCs w:val="24"/>
        </w:rPr>
        <w:t>reference step</w:t>
      </w:r>
      <w:r>
        <w:rPr>
          <w:rFonts w:ascii="Andalus" w:cs="Andalus"/>
          <w:b/>
          <w:sz w:val="24"/>
          <w:szCs w:val="24"/>
        </w:rPr>
        <w:t>：</w:t>
      </w:r>
    </w:p>
    <w:p>
      <w:pPr>
        <w:rPr>
          <w:rFonts w:ascii="Andalus" w:hAnsi="Andalus" w:eastAsia="Gungsuh" w:cs="Andalus"/>
          <w:sz w:val="21"/>
          <w:szCs w:val="21"/>
        </w:rPr>
      </w:pPr>
      <w:r>
        <w:rPr>
          <w:rFonts w:ascii="Andalus" w:hAnsi="Andalus" w:eastAsia="Gungsuh" w:cs="Andalus"/>
          <w:sz w:val="21"/>
          <w:szCs w:val="21"/>
        </w:rPr>
        <w:t xml:space="preserve">4.1 </w:t>
      </w:r>
      <w:r>
        <w:rPr>
          <w:rFonts w:hint="eastAsia" w:ascii="Andalus" w:hAnsi="Andalus" w:eastAsia="宋体" w:cs="Andalus"/>
          <w:sz w:val="21"/>
          <w:szCs w:val="21"/>
          <w:lang w:val="en-US" w:eastAsia="zh-CN"/>
        </w:rPr>
        <w:t>Solder</w:t>
      </w:r>
      <w:r>
        <w:rPr>
          <w:rFonts w:ascii="Andalus" w:hAnsi="Andalus" w:eastAsia="Gungsuh" w:cs="Andalus"/>
          <w:sz w:val="21"/>
          <w:szCs w:val="21"/>
        </w:rPr>
        <w:t>ing components from low to high, the first welding resistance, which try to stick flat PCB, neat appearance, unified direction;</w:t>
      </w:r>
    </w:p>
    <w:p>
      <w:pPr>
        <w:ind w:firstLine="420"/>
        <w:rPr>
          <w:rFonts w:ascii="Andalus" w:hAnsi="Andalus" w:eastAsia="Gungsuh" w:cs="Andalus"/>
          <w:sz w:val="21"/>
          <w:szCs w:val="21"/>
        </w:rPr>
      </w:pPr>
      <w:r>
        <w:rPr>
          <w:rFonts w:ascii="Andalus" w:hAnsi="Andalus" w:eastAsia="Gungsuh" w:cs="Andalus"/>
          <w:sz w:val="21"/>
          <w:szCs w:val="21"/>
        </w:rPr>
        <w:t xml:space="preserve">4.2 After </w:t>
      </w:r>
      <w:r>
        <w:rPr>
          <w:rFonts w:hint="eastAsia" w:ascii="Andalus" w:hAnsi="Andalus" w:eastAsia="宋体" w:cs="Andalus"/>
          <w:sz w:val="21"/>
          <w:szCs w:val="21"/>
          <w:lang w:val="en-US" w:eastAsia="zh-CN"/>
        </w:rPr>
        <w:t>Solder</w:t>
      </w:r>
      <w:r>
        <w:rPr>
          <w:rFonts w:ascii="Andalus" w:hAnsi="Andalus" w:eastAsia="Gungsuh" w:cs="Andalus"/>
          <w:sz w:val="21"/>
          <w:szCs w:val="21"/>
        </w:rPr>
        <w:t xml:space="preserve">ing </w:t>
      </w:r>
      <w:r>
        <w:rPr>
          <w:rFonts w:ascii="Andalus" w:hAnsi="Andalus" w:eastAsia="Gungsuh" w:cs="Andalus"/>
          <w:sz w:val="21"/>
          <w:szCs w:val="21"/>
        </w:rPr>
        <w:t xml:space="preserve">8MHZ crystal, then </w:t>
      </w:r>
      <w:r>
        <w:rPr>
          <w:rFonts w:hint="eastAsia" w:ascii="Andalus" w:hAnsi="Andalus" w:eastAsia="宋体" w:cs="Andalus"/>
          <w:sz w:val="21"/>
          <w:szCs w:val="21"/>
          <w:lang w:val="en-US" w:eastAsia="zh-CN"/>
        </w:rPr>
        <w:t>solder</w:t>
      </w:r>
      <w:r>
        <w:rPr>
          <w:rFonts w:ascii="Andalus" w:hAnsi="Andalus" w:eastAsia="Gungsuh" w:cs="Andalus"/>
          <w:sz w:val="21"/>
          <w:szCs w:val="21"/>
        </w:rPr>
        <w:t xml:space="preserve">ed </w:t>
      </w:r>
      <w:r>
        <w:rPr>
          <w:rFonts w:ascii="Andalus" w:hAnsi="Andalus" w:eastAsia="Gungsuh" w:cs="Andalus"/>
          <w:sz w:val="21"/>
          <w:szCs w:val="21"/>
        </w:rPr>
        <w:t>on both sides of 22pf capacitance;</w:t>
      </w:r>
    </w:p>
    <w:p>
      <w:pPr>
        <w:ind w:firstLine="420"/>
        <w:rPr>
          <w:rFonts w:ascii="Andalus" w:hAnsi="Andalus" w:eastAsia="Gungsuh" w:cs="Andalus"/>
          <w:sz w:val="21"/>
          <w:szCs w:val="21"/>
        </w:rPr>
      </w:pPr>
      <w:r>
        <w:rPr>
          <w:rFonts w:ascii="Andalus" w:hAnsi="Andalus" w:eastAsia="Gungsuh" w:cs="Andalus"/>
          <w:sz w:val="21"/>
          <w:szCs w:val="21"/>
        </w:rPr>
        <w:t xml:space="preserve">4.3 Then, the </w:t>
      </w:r>
      <w:r>
        <w:rPr>
          <w:rFonts w:hint="eastAsia" w:ascii="Andalus" w:hAnsi="Andalus" w:eastAsia="宋体" w:cs="Andalus"/>
          <w:sz w:val="21"/>
          <w:szCs w:val="21"/>
          <w:lang w:val="en-US" w:eastAsia="zh-CN"/>
        </w:rPr>
        <w:t>Solder</w:t>
      </w:r>
      <w:r>
        <w:rPr>
          <w:rFonts w:ascii="Andalus" w:hAnsi="Andalus" w:eastAsia="Gungsuh" w:cs="Andalus"/>
          <w:sz w:val="21"/>
          <w:szCs w:val="21"/>
        </w:rPr>
        <w:t xml:space="preserve">ing </w:t>
      </w:r>
      <w:r>
        <w:rPr>
          <w:rFonts w:ascii="Andalus" w:hAnsi="Andalus" w:eastAsia="Gungsuh" w:cs="Andalus"/>
          <w:sz w:val="21"/>
          <w:szCs w:val="21"/>
        </w:rPr>
        <w:t xml:space="preserve">C6, C3, C1, C5, C2 capacitor row, and then </w:t>
      </w:r>
      <w:r>
        <w:rPr>
          <w:rFonts w:hint="eastAsia" w:ascii="Andalus" w:hAnsi="Andalus" w:eastAsia="宋体" w:cs="Andalus"/>
          <w:sz w:val="21"/>
          <w:szCs w:val="21"/>
          <w:lang w:val="en-US" w:eastAsia="zh-CN"/>
        </w:rPr>
        <w:t>Solder</w:t>
      </w:r>
      <w:r>
        <w:rPr>
          <w:rFonts w:ascii="Andalus" w:hAnsi="Andalus" w:eastAsia="Gungsuh" w:cs="Andalus"/>
          <w:sz w:val="21"/>
          <w:szCs w:val="21"/>
        </w:rPr>
        <w:t xml:space="preserve">ing </w:t>
      </w:r>
      <w:r>
        <w:rPr>
          <w:rFonts w:ascii="Andalus" w:hAnsi="Andalus" w:eastAsia="Gungsuh" w:cs="Andalus"/>
          <w:sz w:val="21"/>
          <w:szCs w:val="21"/>
        </w:rPr>
        <w:t>U2 IC seat;</w:t>
      </w:r>
    </w:p>
    <w:p>
      <w:pPr>
        <w:ind w:firstLine="420"/>
        <w:rPr>
          <w:rFonts w:ascii="Andalus" w:hAnsi="Andalus" w:eastAsia="Gungsuh" w:cs="Andalus"/>
          <w:sz w:val="21"/>
          <w:szCs w:val="21"/>
        </w:rPr>
      </w:pPr>
      <w:r>
        <w:rPr>
          <w:rFonts w:ascii="Andalus" w:hAnsi="Andalus" w:eastAsia="Gungsuh" w:cs="Andalus"/>
          <w:sz w:val="21"/>
          <w:szCs w:val="21"/>
        </w:rPr>
        <w:t xml:space="preserve">4.4 Then </w:t>
      </w:r>
      <w:r>
        <w:rPr>
          <w:rFonts w:hint="eastAsia" w:ascii="Andalus" w:hAnsi="Andalus" w:eastAsia="宋体" w:cs="Andalus"/>
          <w:sz w:val="21"/>
          <w:szCs w:val="21"/>
          <w:lang w:val="en-US" w:eastAsia="zh-CN"/>
        </w:rPr>
        <w:t>solder</w:t>
      </w:r>
      <w:r>
        <w:rPr>
          <w:rFonts w:ascii="Andalus" w:hAnsi="Andalus" w:eastAsia="Gungsuh" w:cs="Andalus"/>
          <w:sz w:val="21"/>
          <w:szCs w:val="21"/>
        </w:rPr>
        <w:t>ed</w:t>
      </w:r>
      <w:r>
        <w:rPr>
          <w:rFonts w:hint="eastAsia" w:ascii="Andalus" w:hAnsi="Andalus" w:eastAsia="宋体" w:cs="Andalus"/>
          <w:sz w:val="21"/>
          <w:szCs w:val="21"/>
          <w:lang w:val="en-US" w:eastAsia="zh-CN"/>
        </w:rPr>
        <w:t xml:space="preserve"> </w:t>
      </w:r>
      <w:r>
        <w:rPr>
          <w:rFonts w:ascii="Andalus" w:hAnsi="Andalus" w:eastAsia="Gungsuh" w:cs="Andalus"/>
          <w:sz w:val="21"/>
          <w:szCs w:val="21"/>
        </w:rPr>
        <w:t xml:space="preserve">LED1, T1, T2, T3,7805, </w:t>
      </w:r>
      <w:r>
        <w:rPr>
          <w:rFonts w:hint="eastAsia" w:ascii="Andalus" w:hAnsi="Andalus" w:eastAsia="宋体" w:cs="Andalus"/>
          <w:sz w:val="21"/>
          <w:szCs w:val="21"/>
          <w:lang w:val="en-US" w:eastAsia="zh-CN"/>
        </w:rPr>
        <w:t>solder</w:t>
      </w:r>
      <w:r>
        <w:rPr>
          <w:rFonts w:ascii="Andalus" w:hAnsi="Andalus" w:eastAsia="Gungsuh" w:cs="Andalus"/>
          <w:sz w:val="21"/>
          <w:szCs w:val="21"/>
        </w:rPr>
        <w:t>ing C10, C9, DT, R (adjustable resistance), LCD1;</w:t>
      </w:r>
    </w:p>
    <w:p>
      <w:pPr>
        <w:ind w:firstLine="420"/>
        <w:rPr>
          <w:rFonts w:ascii="Andalus" w:hAnsi="Andalus" w:eastAsia="Gungsuh" w:cs="Andalus"/>
          <w:sz w:val="21"/>
          <w:szCs w:val="21"/>
        </w:rPr>
      </w:pPr>
      <w:r>
        <w:rPr>
          <w:rFonts w:ascii="Andalus" w:hAnsi="Andalus" w:eastAsia="Gungsuh" w:cs="Andalus"/>
          <w:sz w:val="21"/>
          <w:szCs w:val="21"/>
        </w:rPr>
        <w:t xml:space="preserve">4.5 Finally, </w:t>
      </w:r>
      <w:r>
        <w:rPr>
          <w:rFonts w:hint="eastAsia" w:ascii="Andalus" w:hAnsi="Andalus" w:eastAsia="宋体" w:cs="Andalus"/>
          <w:sz w:val="21"/>
          <w:szCs w:val="21"/>
          <w:lang w:val="en-US" w:eastAsia="zh-CN"/>
        </w:rPr>
        <w:t>Solder</w:t>
      </w:r>
      <w:r>
        <w:rPr>
          <w:rFonts w:ascii="Andalus" w:hAnsi="Andalus" w:eastAsia="Gungsuh" w:cs="Andalus"/>
          <w:sz w:val="21"/>
          <w:szCs w:val="21"/>
        </w:rPr>
        <w:t xml:space="preserve">ing </w:t>
      </w:r>
      <w:r>
        <w:rPr>
          <w:rFonts w:ascii="Andalus" w:hAnsi="Andalus" w:eastAsia="Gungsuh" w:cs="Andalus"/>
          <w:sz w:val="21"/>
          <w:szCs w:val="21"/>
        </w:rPr>
        <w:t>14PIN IC Block, 9V power outlets, key switch;</w:t>
      </w:r>
    </w:p>
    <w:p>
      <w:pPr>
        <w:ind w:firstLine="420"/>
        <w:rPr>
          <w:rFonts w:ascii="Andalus" w:hAnsi="Andalus" w:eastAsia="Gungsuh" w:cs="Andalus"/>
          <w:sz w:val="21"/>
          <w:szCs w:val="21"/>
        </w:rPr>
      </w:pPr>
      <w:r>
        <w:rPr>
          <w:rFonts w:ascii="Andalus" w:hAnsi="Andalus" w:eastAsia="Gungsuh" w:cs="Andalus"/>
          <w:sz w:val="21"/>
          <w:szCs w:val="21"/>
        </w:rPr>
        <w:t xml:space="preserve">4.6 </w:t>
      </w:r>
      <w:r>
        <w:rPr>
          <w:rFonts w:hint="eastAsia" w:ascii="Andalus" w:hAnsi="Andalus" w:eastAsia="宋体" w:cs="Andalus"/>
          <w:sz w:val="21"/>
          <w:szCs w:val="21"/>
          <w:lang w:val="en-US" w:eastAsia="zh-CN"/>
        </w:rPr>
        <w:t xml:space="preserve">Soldered </w:t>
      </w:r>
      <w:r>
        <w:rPr>
          <w:rFonts w:ascii="Andalus" w:hAnsi="Andalus" w:eastAsia="Gungsuh" w:cs="Andalus"/>
          <w:sz w:val="21"/>
          <w:szCs w:val="21"/>
        </w:rPr>
        <w:t>each step, you can cut Component pin.</w:t>
      </w:r>
    </w:p>
    <w:p>
      <w:pPr>
        <w:spacing w:line="220" w:lineRule="atLeast"/>
        <w:ind w:firstLine="236" w:firstLineChars="100"/>
        <w:rPr>
          <w:rFonts w:ascii="Andalus" w:hAnsi="Andalus" w:eastAsia="Gungsuh" w:cs="Andalus"/>
          <w:b/>
          <w:sz w:val="24"/>
          <w:szCs w:val="24"/>
          <w:u w:val="single"/>
        </w:rPr>
      </w:pPr>
      <w:r>
        <w:rPr>
          <w:rFonts w:ascii="Andalus" w:hAnsi="Andalus" w:eastAsia="Gungsuh" w:cs="Andalus"/>
          <w:b/>
          <w:sz w:val="24"/>
          <w:szCs w:val="24"/>
        </w:rPr>
        <w:t>5.Function realization：</w:t>
      </w:r>
    </w:p>
    <w:p>
      <w:pPr>
        <w:ind w:left="755" w:leftChars="200" w:hanging="315" w:hangingChars="150"/>
        <w:rPr>
          <w:rFonts w:ascii="Andalus" w:hAnsi="Andalus" w:eastAsia="Gungsuh" w:cs="Andalus"/>
          <w:sz w:val="21"/>
          <w:szCs w:val="21"/>
        </w:rPr>
      </w:pPr>
      <w:r>
        <w:rPr>
          <w:rFonts w:ascii="Andalus" w:hAnsi="Andalus" w:eastAsia="Gungsuh" w:cs="Andalus"/>
          <w:sz w:val="21"/>
          <w:szCs w:val="21"/>
        </w:rPr>
        <w:t>5.1 a key measurement operation, auto power off delay. Shutdown current is only 20nA, support for battery operation.</w:t>
      </w:r>
    </w:p>
    <w:p>
      <w:pPr>
        <w:ind w:left="755" w:leftChars="200" w:hanging="315" w:hangingChars="150"/>
        <w:rPr>
          <w:rFonts w:ascii="Andalus" w:hAnsi="Andalus" w:eastAsia="Gungsuh" w:cs="Andalus"/>
          <w:sz w:val="21"/>
          <w:szCs w:val="21"/>
        </w:rPr>
      </w:pPr>
      <w:r>
        <w:rPr>
          <w:rFonts w:ascii="Andalus" w:hAnsi="Andalus" w:eastAsia="Gungsuh" w:cs="Andalus"/>
          <w:sz w:val="21"/>
          <w:szCs w:val="21"/>
        </w:rPr>
        <w:t xml:space="preserve">5.2 Automatic detection PNP and NPN bipolar transistor, N, P-channel MOSFET, JFET field effect transistors, diodes, two diodes, thyristors, resistors, capacitors, inductors. Automatic detection pin definitions.Current amplification factor (B) </w:t>
      </w:r>
    </w:p>
    <w:p>
      <w:pPr>
        <w:ind w:left="755" w:leftChars="200" w:hanging="315" w:hangingChars="150"/>
        <w:rPr>
          <w:rFonts w:ascii="Andalus" w:hAnsi="Andalus" w:eastAsia="Gungsuh" w:cs="Andalus"/>
          <w:sz w:val="21"/>
          <w:szCs w:val="21"/>
        </w:rPr>
      </w:pPr>
      <w:r>
        <w:rPr>
          <w:rFonts w:ascii="Andalus" w:hAnsi="Andalus" w:eastAsia="Gungsuh" w:cs="Andalus"/>
          <w:sz w:val="21"/>
          <w:szCs w:val="21"/>
        </w:rPr>
        <w:t>5.3 Measurement bipolar transistor and the emitter of the turn-on voltage (Uf). Darlington transistor can be identified by the amplification factor of the high threshold voltage and high current.</w:t>
      </w:r>
    </w:p>
    <w:p>
      <w:pPr>
        <w:ind w:left="420"/>
        <w:rPr>
          <w:rFonts w:ascii="Andalus" w:hAnsi="Andalus" w:eastAsia="Gungsuh" w:cs="Andalus"/>
          <w:sz w:val="21"/>
          <w:szCs w:val="21"/>
        </w:rPr>
      </w:pPr>
      <w:r>
        <w:rPr>
          <w:rFonts w:ascii="Andalus" w:hAnsi="Andalus" w:eastAsia="Gungsuh" w:cs="Andalus"/>
          <w:sz w:val="21"/>
          <w:szCs w:val="21"/>
        </w:rPr>
        <w:t>5.4 can detect bipolar transistors and MOSFET protection diode inside and displayed on the screen.</w:t>
      </w:r>
    </w:p>
    <w:p>
      <w:pPr>
        <w:ind w:left="420"/>
        <w:rPr>
          <w:rFonts w:ascii="Andalus" w:hAnsi="Andalus" w:eastAsia="Gungsuh" w:cs="Andalus"/>
          <w:sz w:val="21"/>
          <w:szCs w:val="21"/>
        </w:rPr>
      </w:pPr>
      <w:r>
        <w:rPr>
          <w:rFonts w:ascii="Andalus" w:hAnsi="Andalus" w:eastAsia="Gungsuh" w:cs="Andalus"/>
          <w:sz w:val="21"/>
          <w:szCs w:val="21"/>
        </w:rPr>
        <w:t>5.5 measured threshold voltage and gate capacitance of the MOSFET.</w:t>
      </w:r>
    </w:p>
    <w:p>
      <w:pPr>
        <w:ind w:left="755" w:leftChars="200" w:hanging="315" w:hangingChars="150"/>
        <w:rPr>
          <w:rFonts w:ascii="Andalus" w:hAnsi="Andalus" w:eastAsia="Gungsuh" w:cs="Andalus"/>
          <w:sz w:val="21"/>
          <w:szCs w:val="21"/>
        </w:rPr>
      </w:pPr>
      <w:r>
        <w:rPr>
          <w:rFonts w:ascii="Andalus" w:hAnsi="Andalus" w:eastAsia="Gungsuh" w:cs="Andalus"/>
          <w:sz w:val="21"/>
          <w:szCs w:val="21"/>
        </w:rPr>
        <w:t>5.6 supports two measuring resistors, potentiometers can also be measured. If the potentiometer is adjusted to its end, the tester can not distinguish between the middle and the ends of the pins.</w:t>
      </w:r>
    </w:p>
    <w:p>
      <w:pPr>
        <w:ind w:left="420"/>
        <w:rPr>
          <w:rFonts w:ascii="Andalus" w:hAnsi="Andalus" w:eastAsia="Gungsuh" w:cs="Andalus"/>
          <w:sz w:val="21"/>
          <w:szCs w:val="21"/>
        </w:rPr>
      </w:pPr>
      <w:r>
        <w:rPr>
          <w:rFonts w:ascii="Andalus" w:hAnsi="Andalus" w:eastAsia="Gungsuh" w:cs="Andalus"/>
          <w:sz w:val="21"/>
          <w:szCs w:val="21"/>
        </w:rPr>
        <w:t xml:space="preserve">5.7 The resolution of the resistance measurement is 0.1 ohms and the highest measured </w:t>
      </w:r>
      <w:r>
        <w:rPr>
          <w:rFonts w:hint="eastAsia" w:ascii="Andalus" w:hAnsi="Andalus" w:eastAsia="宋体" w:cs="Andalus"/>
          <w:sz w:val="21"/>
          <w:szCs w:val="21"/>
          <w:lang w:val="en-US" w:eastAsia="zh-CN"/>
        </w:rPr>
        <w:t xml:space="preserve">  </w:t>
      </w:r>
      <w:r>
        <w:rPr>
          <w:rFonts w:hint="eastAsia" w:ascii="Andalus" w:hAnsi="Andalus" w:eastAsia="宋体" w:cs="Andalus"/>
          <w:sz w:val="21"/>
          <w:szCs w:val="21"/>
          <w:lang w:val="en-US" w:eastAsia="zh-CN"/>
        </w:rPr>
        <w:tab/>
        <w:t xml:space="preserve"> </w:t>
      </w:r>
      <w:bookmarkStart w:id="0" w:name="_GoBack"/>
      <w:bookmarkEnd w:id="0"/>
      <w:r>
        <w:rPr>
          <w:rFonts w:ascii="Andalus" w:hAnsi="Andalus" w:eastAsia="Gungsuh" w:cs="Andalus"/>
          <w:sz w:val="21"/>
          <w:szCs w:val="21"/>
        </w:rPr>
        <w:t xml:space="preserve">value is 50M ohms. </w:t>
      </w:r>
    </w:p>
    <w:p>
      <w:pPr>
        <w:ind w:left="860" w:leftChars="200" w:hanging="420" w:hangingChars="200"/>
        <w:rPr>
          <w:rFonts w:ascii="Andalus" w:hAnsi="Andalus" w:eastAsia="Gungsuh" w:cs="Andalus"/>
          <w:sz w:val="21"/>
          <w:szCs w:val="21"/>
        </w:rPr>
      </w:pPr>
      <w:r>
        <w:rPr>
          <w:rFonts w:ascii="Andalus" w:hAnsi="Andalus" w:eastAsia="Gungsuh" w:cs="Andalus"/>
          <w:sz w:val="21"/>
          <w:szCs w:val="21"/>
        </w:rPr>
        <w:t>5.8 Capacitance measurements range from 25pf to 100mF (100 thousand UF). Resolution up to 1 pF, inductance measurement range of 0.01MH-20H, less than 0.01MH will be displayed as a resistor.</w:t>
      </w:r>
    </w:p>
    <w:p>
      <w:pPr>
        <w:ind w:left="755" w:leftChars="200" w:hanging="315" w:hangingChars="150"/>
        <w:rPr>
          <w:rFonts w:ascii="Andalus" w:hAnsi="Andalus" w:eastAsia="Gungsuh" w:cs="Andalus"/>
          <w:sz w:val="21"/>
          <w:szCs w:val="21"/>
        </w:rPr>
      </w:pPr>
      <w:r>
        <w:rPr>
          <w:rFonts w:ascii="Andalus" w:hAnsi="Andalus" w:eastAsia="Gungsuh" w:cs="Andalus"/>
          <w:sz w:val="21"/>
          <w:szCs w:val="21"/>
        </w:rPr>
        <w:t>5.9 The equivalent series resistance (ESR) of the capacitor above 2UF can be measured with a resolution of 0.01 ohms. This feature is very important for the detection of capacitive performance.</w:t>
      </w:r>
    </w:p>
    <w:p>
      <w:pPr>
        <w:rPr>
          <w:rFonts w:ascii="Andalus" w:hAnsi="Andalus" w:eastAsia="Gungsuh" w:cs="Andalus"/>
          <w:sz w:val="21"/>
          <w:szCs w:val="21"/>
        </w:rPr>
      </w:pPr>
      <w:r>
        <w:rPr>
          <w:rFonts w:hint="eastAsia" w:ascii="Andalus" w:hAnsi="Andalus" w:eastAsia="宋体" w:cs="Andalus"/>
          <w:sz w:val="21"/>
          <w:szCs w:val="21"/>
          <w:lang w:val="en-US" w:eastAsia="zh-CN"/>
        </w:rPr>
        <w:t xml:space="preserve">        </w:t>
      </w:r>
      <w:r>
        <w:rPr>
          <w:rFonts w:ascii="Andalus" w:hAnsi="Andalus" w:eastAsia="Gungsuh" w:cs="Andalus"/>
          <w:sz w:val="21"/>
          <w:szCs w:val="21"/>
        </w:rPr>
        <w:t xml:space="preserve">5.10 Two diodes can be displayed in the correct direction of the symbol, while showing </w:t>
      </w:r>
      <w:r>
        <w:rPr>
          <w:rFonts w:hint="eastAsia" w:ascii="Andalus" w:hAnsi="Andalus" w:eastAsia="宋体" w:cs="Andalus"/>
          <w:sz w:val="21"/>
          <w:szCs w:val="21"/>
          <w:lang w:val="en-US" w:eastAsia="zh-CN"/>
        </w:rPr>
        <w:t xml:space="preserve">            </w:t>
      </w:r>
      <w:r>
        <w:rPr>
          <w:rFonts w:hint="eastAsia" w:ascii="Andalus" w:hAnsi="Andalus" w:eastAsia="宋体" w:cs="Andalus"/>
          <w:sz w:val="21"/>
          <w:szCs w:val="21"/>
          <w:lang w:val="en-US" w:eastAsia="zh-CN"/>
        </w:rPr>
        <w:tab/>
        <w:t xml:space="preserve">   </w:t>
      </w:r>
      <w:r>
        <w:rPr>
          <w:rFonts w:ascii="Andalus" w:hAnsi="Andalus" w:eastAsia="Gungsuh" w:cs="Andalus"/>
          <w:sz w:val="21"/>
          <w:szCs w:val="21"/>
        </w:rPr>
        <w:t>the forward voltage drop.</w:t>
      </w:r>
    </w:p>
    <w:p>
      <w:pPr>
        <w:spacing w:line="220" w:lineRule="atLeast"/>
        <w:rPr>
          <w:rFonts w:ascii="Andalus" w:hAnsi="Andalus" w:eastAsia="Gungsuh" w:cs="Andalus"/>
          <w:sz w:val="18"/>
          <w:szCs w:val="18"/>
        </w:rPr>
      </w:pPr>
      <w:r>
        <w:rPr>
          <w:rFonts w:hint="eastAsia" w:ascii="Andalus" w:hAnsi="Andalus" w:eastAsia="宋体" w:cs="Andalus"/>
          <w:sz w:val="21"/>
          <w:szCs w:val="21"/>
          <w:lang w:val="en-US" w:eastAsia="zh-CN"/>
        </w:rPr>
        <w:t xml:space="preserve">         </w:t>
      </w:r>
      <w:r>
        <w:rPr>
          <w:rFonts w:ascii="Andalus" w:hAnsi="Andalus" w:eastAsia="Gungsuh" w:cs="Andalus"/>
          <w:sz w:val="21"/>
          <w:szCs w:val="21"/>
        </w:rPr>
        <w:t xml:space="preserve">5.11 LED is detected as a diode, the forward voltage drop is higher than the normal </w:t>
      </w:r>
      <w:r>
        <w:rPr>
          <w:rFonts w:hint="eastAsia" w:ascii="Andalus" w:hAnsi="Andalus" w:eastAsia="宋体" w:cs="Andalus"/>
          <w:sz w:val="21"/>
          <w:szCs w:val="21"/>
          <w:lang w:val="en-US" w:eastAsia="zh-CN"/>
        </w:rPr>
        <w:tab/>
        <w:t/>
      </w:r>
      <w:r>
        <w:rPr>
          <w:rFonts w:hint="eastAsia" w:ascii="Andalus" w:hAnsi="Andalus" w:eastAsia="宋体" w:cs="Andalus"/>
          <w:sz w:val="21"/>
          <w:szCs w:val="21"/>
          <w:lang w:val="en-US" w:eastAsia="zh-CN"/>
        </w:rPr>
        <w:tab/>
        <w:t xml:space="preserve">    </w:t>
      </w:r>
      <w:r>
        <w:rPr>
          <w:rFonts w:ascii="Andalus" w:hAnsi="Andalus" w:eastAsia="Gungsuh" w:cs="Andalus"/>
          <w:sz w:val="21"/>
          <w:szCs w:val="21"/>
        </w:rPr>
        <w:t xml:space="preserve">value. Dual LED detection for dual diode. Detection of light emitting diode will </w:t>
      </w:r>
      <w:r>
        <w:rPr>
          <w:rFonts w:hint="eastAsia" w:ascii="Andalus" w:hAnsi="Andalus" w:eastAsia="宋体" w:cs="Andalus"/>
          <w:sz w:val="21"/>
          <w:szCs w:val="21"/>
          <w:lang w:val="en-US" w:eastAsia="zh-CN"/>
        </w:rPr>
        <w:tab/>
        <w:t xml:space="preserve">  </w:t>
      </w:r>
      <w:r>
        <w:rPr>
          <w:rFonts w:hint="eastAsia" w:ascii="Andalus" w:hAnsi="Andalus" w:eastAsia="宋体" w:cs="Andalus"/>
          <w:sz w:val="21"/>
          <w:szCs w:val="21"/>
          <w:lang w:val="en-US" w:eastAsia="zh-CN"/>
        </w:rPr>
        <w:tab/>
        <w:t xml:space="preserve">    </w:t>
      </w:r>
      <w:r>
        <w:rPr>
          <w:rFonts w:ascii="Andalus" w:hAnsi="Andalus" w:eastAsia="Gungsuh" w:cs="Andalus"/>
          <w:sz w:val="21"/>
          <w:szCs w:val="21"/>
        </w:rPr>
        <w:t>shine.</w:t>
      </w:r>
    </w:p>
    <w:p>
      <w:pPr>
        <w:spacing w:line="220" w:lineRule="atLeast"/>
        <w:rPr>
          <w:rFonts w:ascii="Andalus" w:hAnsi="Andalus" w:eastAsia="Gungsuh" w:cs="Andalus"/>
          <w:b/>
          <w:sz w:val="28"/>
          <w:szCs w:val="28"/>
        </w:rPr>
      </w:pPr>
      <w:r>
        <w:rPr>
          <w:rFonts w:ascii="Andalus" w:hAnsi="Andalus" w:eastAsia="Gungsuh" w:cs="Andalus"/>
          <w:b/>
          <w:sz w:val="28"/>
          <w:szCs w:val="28"/>
        </w:rPr>
        <w:t>Note:</w:t>
      </w:r>
    </w:p>
    <w:p>
      <w:pPr>
        <w:spacing w:line="220" w:lineRule="atLeast"/>
        <w:rPr>
          <w:rFonts w:ascii="Andalus" w:hAnsi="Andalus" w:eastAsia="Gungsuh" w:cs="Andalus"/>
          <w:b/>
          <w:sz w:val="21"/>
          <w:szCs w:val="21"/>
        </w:rPr>
      </w:pPr>
      <w:r>
        <w:rPr>
          <w:rFonts w:ascii="Andalus" w:hAnsi="Andalus" w:eastAsia="Gungsuh" w:cs="Andalus"/>
          <w:b/>
          <w:sz w:val="21"/>
          <w:szCs w:val="21"/>
        </w:rPr>
        <w:t>1.</w:t>
      </w:r>
      <w:r>
        <w:rPr>
          <w:rFonts w:ascii="Andalus" w:hAnsi="Andalus" w:eastAsia="Gungsuh" w:cs="Andalus"/>
          <w:sz w:val="21"/>
          <w:szCs w:val="21"/>
        </w:rPr>
        <w:t xml:space="preserve"> </w:t>
      </w:r>
      <w:r>
        <w:rPr>
          <w:rFonts w:ascii="Andalus" w:hAnsi="Andalus" w:eastAsia="Gungsuh" w:cs="Andalus"/>
          <w:b/>
          <w:sz w:val="21"/>
          <w:szCs w:val="21"/>
        </w:rPr>
        <w:t>For the first time, after electrify, please adjust the side of a 103 blue and white adjustable resistance make the LCD screen lights up.</w:t>
      </w:r>
    </w:p>
    <w:p>
      <w:pPr>
        <w:spacing w:line="220" w:lineRule="atLeast"/>
        <w:rPr>
          <w:rFonts w:ascii="Andalus" w:hAnsi="Andalus" w:eastAsia="Gungsuh" w:cs="Andalus"/>
          <w:b/>
          <w:sz w:val="21"/>
          <w:szCs w:val="21"/>
        </w:rPr>
      </w:pPr>
      <w:r>
        <w:rPr>
          <w:rFonts w:ascii="Andalus" w:hAnsi="Andalus" w:eastAsia="Gungsuh" w:cs="Andalus"/>
          <w:b/>
          <w:sz w:val="21"/>
          <w:szCs w:val="21"/>
        </w:rPr>
        <w:t>2.</w:t>
      </w:r>
      <w:r>
        <w:rPr>
          <w:rFonts w:ascii="Andalus" w:hAnsi="Andalus" w:eastAsia="Gungsuh" w:cs="Andalus"/>
          <w:sz w:val="21"/>
          <w:szCs w:val="21"/>
        </w:rPr>
        <w:t xml:space="preserve"> </w:t>
      </w:r>
      <w:r>
        <w:rPr>
          <w:rFonts w:ascii="Andalus" w:hAnsi="Andalus" w:eastAsia="Gungsuh" w:cs="Andalus"/>
          <w:b/>
          <w:sz w:val="21"/>
          <w:szCs w:val="21"/>
        </w:rPr>
        <w:t>Remember that 9 v dc power supply, the power of positive and negative don't wrong.</w:t>
      </w:r>
    </w:p>
    <w:p>
      <w:pPr>
        <w:spacing w:line="220" w:lineRule="atLeast"/>
        <w:rPr>
          <w:rFonts w:ascii="Andalus" w:hAnsi="Andalus" w:eastAsia="Gungsuh" w:cs="Andalus"/>
          <w:b/>
          <w:sz w:val="21"/>
          <w:szCs w:val="21"/>
        </w:rPr>
      </w:pPr>
      <w:r>
        <w:rPr>
          <w:rFonts w:ascii="Andalus" w:hAnsi="Andalus" w:eastAsia="Gungsuh" w:cs="Andalus"/>
          <w:b/>
          <w:sz w:val="21"/>
          <w:szCs w:val="21"/>
        </w:rPr>
        <w:t>3.</w:t>
      </w:r>
      <w:r>
        <w:rPr>
          <w:rFonts w:ascii="Andalus" w:hAnsi="Andalus" w:eastAsia="Gungsuh" w:cs="Andalus"/>
          <w:sz w:val="21"/>
          <w:szCs w:val="21"/>
        </w:rPr>
        <w:t xml:space="preserve"> </w:t>
      </w:r>
      <w:r>
        <w:rPr>
          <w:rFonts w:ascii="Andalus" w:hAnsi="Andalus" w:eastAsia="Gungsuh" w:cs="Andalus"/>
          <w:b/>
          <w:sz w:val="21"/>
          <w:szCs w:val="21"/>
        </w:rPr>
        <w:t>Remember that before the measurement of capacitance, to discharge, otherwise damage the chip.</w:t>
      </w:r>
    </w:p>
    <w:p>
      <w:pPr>
        <w:spacing w:line="220" w:lineRule="atLeast"/>
        <w:rPr>
          <w:rFonts w:ascii="Andalus" w:hAnsi="Andalus" w:eastAsia="Gungsuh" w:cs="Andalus"/>
          <w:b/>
          <w:sz w:val="21"/>
          <w:szCs w:val="21"/>
        </w:rPr>
      </w:pPr>
      <w:r>
        <w:rPr>
          <w:rFonts w:ascii="Andalus" w:hAnsi="Andalus" w:eastAsia="Gungsuh" w:cs="Andalus"/>
          <w:b/>
          <w:sz w:val="21"/>
          <w:szCs w:val="21"/>
        </w:rPr>
        <w:t>4.</w:t>
      </w:r>
      <w:r>
        <w:rPr>
          <w:rFonts w:ascii="Andalus" w:hAnsi="Andalus" w:eastAsia="Gungsuh" w:cs="Andalus"/>
          <w:sz w:val="21"/>
          <w:szCs w:val="21"/>
        </w:rPr>
        <w:t xml:space="preserve"> </w:t>
      </w:r>
      <w:r>
        <w:rPr>
          <w:rFonts w:ascii="Andalus" w:hAnsi="Andalus" w:eastAsia="Gungsuh" w:cs="Andalus"/>
          <w:b/>
          <w:sz w:val="21"/>
          <w:szCs w:val="21"/>
        </w:rPr>
        <w:t>1, 2, 3, as a set of measurement point, measuring just pick any two or three points.</w:t>
      </w:r>
    </w:p>
    <w:sectPr>
      <w:pgSz w:w="16838" w:h="11906" w:orient="landscape"/>
      <w:pgMar w:top="284" w:right="284" w:bottom="465" w:left="284" w:header="708" w:footer="708" w:gutter="0"/>
      <w:cols w:space="425" w:num="2" w:sep="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Arial Black">
    <w:panose1 w:val="020B0A04020102020204"/>
    <w:charset w:val="00"/>
    <w:family w:val="decorative"/>
    <w:pitch w:val="default"/>
    <w:sig w:usb0="00000287" w:usb1="00000000" w:usb2="00000000" w:usb3="00000000" w:csb0="2000009F" w:csb1="DFD70000"/>
  </w:font>
  <w:font w:name="黑体">
    <w:panose1 w:val="02010609060101010101"/>
    <w:charset w:val="86"/>
    <w:family w:val="swiss"/>
    <w:pitch w:val="default"/>
    <w:sig w:usb0="800002BF" w:usb1="38CF7CFA" w:usb2="00000016" w:usb3="00000000" w:csb0="00040001" w:csb1="00000000"/>
  </w:font>
  <w:font w:name="Andalus">
    <w:panose1 w:val="02020603050405020304"/>
    <w:charset w:val="00"/>
    <w:family w:val="modern"/>
    <w:pitch w:val="default"/>
    <w:sig w:usb0="00002003" w:usb1="80000000" w:usb2="00000008" w:usb3="00000000" w:csb0="00000041" w:csb1="20080000"/>
  </w:font>
  <w:font w:name="Gungsuh">
    <w:panose1 w:val="02030600000101010101"/>
    <w:charset w:val="81"/>
    <w:family w:val="modern"/>
    <w:pitch w:val="default"/>
    <w:sig w:usb0="B00002AF" w:usb1="69D77CFB" w:usb2="00000030" w:usb3="00000000" w:csb0="4008009F" w:csb1="DFD7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Arial Black">
    <w:panose1 w:val="020B0A04020102020204"/>
    <w:charset w:val="00"/>
    <w:family w:val="roman"/>
    <w:pitch w:val="default"/>
    <w:sig w:usb0="00000287" w:usb1="00000000" w:usb2="00000000" w:usb3="00000000" w:csb0="2000009F" w:csb1="DFD70000"/>
  </w:font>
  <w:font w:name="黑体">
    <w:panose1 w:val="02010609060101010101"/>
    <w:charset w:val="86"/>
    <w:family w:val="decorative"/>
    <w:pitch w:val="default"/>
    <w:sig w:usb0="800002BF" w:usb1="38CF7CFA" w:usb2="00000016" w:usb3="00000000" w:csb0="00040001" w:csb1="00000000"/>
  </w:font>
  <w:font w:name="Andalus">
    <w:panose1 w:val="02020603050405020304"/>
    <w:charset w:val="00"/>
    <w:family w:val="swiss"/>
    <w:pitch w:val="default"/>
    <w:sig w:usb0="00002003" w:usb1="80000000" w:usb2="00000008" w:usb3="00000000" w:csb0="00000041" w:csb1="20080000"/>
  </w:font>
  <w:font w:name="Gungsuh">
    <w:panose1 w:val="02030600000101010101"/>
    <w:charset w:val="81"/>
    <w:family w:val="swiss"/>
    <w:pitch w:val="default"/>
    <w:sig w:usb0="B00002AF" w:usb1="69D77CFB" w:usb2="00000030" w:usb3="00000000" w:csb0="4008009F" w:csb1="DFD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Arial Black">
    <w:panose1 w:val="020B0A04020102020204"/>
    <w:charset w:val="00"/>
    <w:family w:val="modern"/>
    <w:pitch w:val="default"/>
    <w:sig w:usb0="00000287" w:usb1="00000000" w:usb2="00000000" w:usb3="00000000" w:csb0="2000009F" w:csb1="DFD70000"/>
  </w:font>
  <w:font w:name="黑体">
    <w:panose1 w:val="02010609060101010101"/>
    <w:charset w:val="86"/>
    <w:family w:val="roman"/>
    <w:pitch w:val="default"/>
    <w:sig w:usb0="800002BF" w:usb1="38CF7CFA" w:usb2="00000016" w:usb3="00000000" w:csb0="00040001" w:csb1="00000000"/>
  </w:font>
  <w:font w:name="Andalus">
    <w:panose1 w:val="02020603050405020304"/>
    <w:charset w:val="00"/>
    <w:family w:val="decorative"/>
    <w:pitch w:val="default"/>
    <w:sig w:usb0="00002003" w:usb1="80000000" w:usb2="00000008" w:usb3="00000000" w:csb0="00000041" w:csb1="20080000"/>
  </w:font>
  <w:font w:name="Gungsuh">
    <w:panose1 w:val="02030600000101010101"/>
    <w:charset w:val="81"/>
    <w:family w:val="decorative"/>
    <w:pitch w:val="default"/>
    <w:sig w:usb0="B00002AF" w:usb1="69D77CFB" w:usb2="00000030" w:usb3="00000000" w:csb0="4008009F" w:csb1="DFD7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黑体">
    <w:panose1 w:val="02010609060101010101"/>
    <w:charset w:val="86"/>
    <w:family w:val="modern"/>
    <w:pitch w:val="default"/>
    <w:sig w:usb0="800002BF" w:usb1="38CF7CFA" w:usb2="00000016" w:usb3="00000000" w:csb0="00040001" w:csb1="00000000"/>
  </w:font>
  <w:font w:name="Andalus">
    <w:panose1 w:val="02020603050405020304"/>
    <w:charset w:val="00"/>
    <w:family w:val="roman"/>
    <w:pitch w:val="default"/>
    <w:sig w:usb0="00002003" w:usb1="80000000" w:usb2="00000008" w:usb3="00000000" w:csb0="00000041" w:csb1="20080000"/>
  </w:font>
  <w:font w:name="Gungsuh">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470D2"/>
    <w:rsid w:val="000B72A4"/>
    <w:rsid w:val="000D5D5F"/>
    <w:rsid w:val="0014507F"/>
    <w:rsid w:val="001D20CA"/>
    <w:rsid w:val="001E3703"/>
    <w:rsid w:val="00246E1B"/>
    <w:rsid w:val="00247660"/>
    <w:rsid w:val="002B5C6D"/>
    <w:rsid w:val="00305E0D"/>
    <w:rsid w:val="00323B43"/>
    <w:rsid w:val="003721B6"/>
    <w:rsid w:val="00392CBD"/>
    <w:rsid w:val="003A49C1"/>
    <w:rsid w:val="003D37D8"/>
    <w:rsid w:val="00411645"/>
    <w:rsid w:val="004211EA"/>
    <w:rsid w:val="00426133"/>
    <w:rsid w:val="004358AB"/>
    <w:rsid w:val="006306B7"/>
    <w:rsid w:val="0064347E"/>
    <w:rsid w:val="00703403"/>
    <w:rsid w:val="00710EB0"/>
    <w:rsid w:val="00734750"/>
    <w:rsid w:val="00781243"/>
    <w:rsid w:val="007A0C4B"/>
    <w:rsid w:val="007A5BE4"/>
    <w:rsid w:val="007C6815"/>
    <w:rsid w:val="0081557A"/>
    <w:rsid w:val="00841643"/>
    <w:rsid w:val="00891003"/>
    <w:rsid w:val="00894472"/>
    <w:rsid w:val="008B7726"/>
    <w:rsid w:val="008D4C19"/>
    <w:rsid w:val="008E1D68"/>
    <w:rsid w:val="00A76983"/>
    <w:rsid w:val="00A82496"/>
    <w:rsid w:val="00A86547"/>
    <w:rsid w:val="00A9767D"/>
    <w:rsid w:val="00AC485E"/>
    <w:rsid w:val="00AF527A"/>
    <w:rsid w:val="00BD2962"/>
    <w:rsid w:val="00C2717D"/>
    <w:rsid w:val="00C411FD"/>
    <w:rsid w:val="00CB62A2"/>
    <w:rsid w:val="00CC4786"/>
    <w:rsid w:val="00CF3482"/>
    <w:rsid w:val="00D31D50"/>
    <w:rsid w:val="00DB36FB"/>
    <w:rsid w:val="00E03E3C"/>
    <w:rsid w:val="00E04A34"/>
    <w:rsid w:val="00E560FE"/>
    <w:rsid w:val="00E6730F"/>
    <w:rsid w:val="00EB2D6F"/>
    <w:rsid w:val="00EC7DB0"/>
    <w:rsid w:val="00F14F17"/>
    <w:rsid w:val="00F408DA"/>
    <w:rsid w:val="00F42B22"/>
    <w:rsid w:val="00FA1E96"/>
    <w:rsid w:val="00FD285A"/>
    <w:rsid w:val="0ED4720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keepNext/>
      <w:keepLines/>
      <w:widowControl w:val="0"/>
      <w:adjustRightInd/>
      <w:snapToGrid/>
      <w:spacing w:before="340" w:after="330" w:line="578" w:lineRule="auto"/>
      <w:jc w:val="both"/>
      <w:outlineLvl w:val="0"/>
    </w:pPr>
    <w:rPr>
      <w:rFonts w:asciiTheme="minorHAnsi" w:hAnsiTheme="minorHAnsi" w:eastAsiaTheme="minorEastAsia"/>
      <w:b/>
      <w:bCs/>
      <w:kern w:val="44"/>
      <w:sz w:val="44"/>
      <w:szCs w:val="44"/>
    </w:rPr>
  </w:style>
  <w:style w:type="paragraph" w:styleId="3">
    <w:name w:val="heading 2"/>
    <w:basedOn w:val="1"/>
    <w:next w:val="1"/>
    <w:link w:val="12"/>
    <w:unhideWhenUsed/>
    <w:qFormat/>
    <w:uiPriority w:val="9"/>
    <w:pPr>
      <w:keepNext/>
      <w:keepLines/>
      <w:widowControl w:val="0"/>
      <w:adjustRightInd/>
      <w:snapToGrid/>
      <w:spacing w:before="260" w:after="260" w:line="416" w:lineRule="auto"/>
      <w:jc w:val="both"/>
      <w:outlineLvl w:val="1"/>
    </w:pPr>
    <w:rPr>
      <w:rFonts w:asciiTheme="majorHAnsi" w:hAnsiTheme="majorHAnsi" w:eastAsiaTheme="majorEastAsia" w:cstheme="majorBidi"/>
      <w:b/>
      <w:bCs/>
      <w:kern w:val="2"/>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uiPriority w:val="99"/>
    <w:pPr>
      <w:spacing w:after="0"/>
    </w:pPr>
    <w:rPr>
      <w:sz w:val="18"/>
      <w:szCs w:val="18"/>
    </w:rPr>
  </w:style>
  <w:style w:type="paragraph" w:styleId="5">
    <w:name w:val="footer"/>
    <w:basedOn w:val="1"/>
    <w:link w:val="10"/>
    <w:unhideWhenUsed/>
    <w:uiPriority w:val="99"/>
    <w:pPr>
      <w:tabs>
        <w:tab w:val="center" w:pos="4153"/>
        <w:tab w:val="right" w:pos="8306"/>
      </w:tabs>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7"/>
    <w:link w:val="6"/>
    <w:semiHidden/>
    <w:uiPriority w:val="99"/>
    <w:rPr>
      <w:rFonts w:ascii="Tahoma" w:hAnsi="Tahoma"/>
      <w:sz w:val="18"/>
      <w:szCs w:val="18"/>
    </w:rPr>
  </w:style>
  <w:style w:type="character" w:customStyle="1" w:styleId="10">
    <w:name w:val="页脚 Char"/>
    <w:basedOn w:val="7"/>
    <w:link w:val="5"/>
    <w:semiHidden/>
    <w:qFormat/>
    <w:uiPriority w:val="99"/>
    <w:rPr>
      <w:rFonts w:ascii="Tahoma" w:hAnsi="Tahoma"/>
      <w:sz w:val="18"/>
      <w:szCs w:val="18"/>
    </w:rPr>
  </w:style>
  <w:style w:type="character" w:customStyle="1" w:styleId="11">
    <w:name w:val="标题 1 Char"/>
    <w:basedOn w:val="7"/>
    <w:link w:val="2"/>
    <w:qFormat/>
    <w:uiPriority w:val="9"/>
    <w:rPr>
      <w:rFonts w:eastAsiaTheme="minorEastAsia"/>
      <w:b/>
      <w:bCs/>
      <w:kern w:val="44"/>
      <w:sz w:val="44"/>
      <w:szCs w:val="44"/>
    </w:rPr>
  </w:style>
  <w:style w:type="character" w:customStyle="1" w:styleId="12">
    <w:name w:val="标题 2 Char"/>
    <w:basedOn w:val="7"/>
    <w:link w:val="3"/>
    <w:qFormat/>
    <w:uiPriority w:val="9"/>
    <w:rPr>
      <w:rFonts w:asciiTheme="majorHAnsi" w:hAnsiTheme="majorHAnsi" w:eastAsiaTheme="majorEastAsia" w:cstheme="majorBidi"/>
      <w:b/>
      <w:bCs/>
      <w:kern w:val="2"/>
      <w:sz w:val="32"/>
      <w:szCs w:val="32"/>
    </w:rPr>
  </w:style>
  <w:style w:type="character" w:customStyle="1" w:styleId="13">
    <w:name w:val="批注框文本 Char"/>
    <w:basedOn w:val="7"/>
    <w:link w:val="4"/>
    <w:semiHidden/>
    <w:uiPriority w:val="99"/>
    <w:rPr>
      <w:rFonts w:ascii="Tahoma" w:hAnsi="Tahoma"/>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D3531-B2FE-4891-AE3F-30E57D9F23C0}">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640</Words>
  <Characters>3652</Characters>
  <Lines>30</Lines>
  <Paragraphs>8</Paragraphs>
  <TotalTime>0</TotalTime>
  <ScaleCrop>false</ScaleCrop>
  <LinksUpToDate>false</LinksUpToDate>
  <CharactersWithSpaces>4284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2017-04-13T14:26:00Z</cp:lastPrinted>
  <dcterms:modified xsi:type="dcterms:W3CDTF">2017-04-17T07:20:02Z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